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96DBB" w:rsidTr="000949FD">
        <w:trPr>
          <w:trHeight w:hRule="exact" w:val="855"/>
        </w:trPr>
        <w:tc>
          <w:tcPr>
            <w:tcW w:w="10314" w:type="dxa"/>
          </w:tcPr>
          <w:p w:rsidR="00E14DF5" w:rsidRDefault="00AF4E4C">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E14DF5" w:rsidRDefault="00E14DF5">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E-67030442-000-22218</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30.12.2022</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E14DF5" w:rsidRDefault="00AF4E4C">
            <w:pPr>
              <w:rPr>
                <w:rFonts w:ascii="Times New Roman" w:hAnsi="Times New Roman" w:cs="Times New Roman"/>
                <w:sz w:val="24"/>
                <w:szCs w:val="24"/>
              </w:rPr>
            </w:pPr>
            <w:r>
              <w:rPr>
                <w:rFonts w:ascii="Times New Roman" w:hAnsi="Times New Roman" w:cs="Times New Roman"/>
                <w:sz w:val="24"/>
                <w:szCs w:val="24"/>
              </w:rPr>
              <w:t>Meclis Gündemi</w:t>
            </w:r>
          </w:p>
        </w:tc>
      </w:tr>
    </w:tbl>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p w:rsidR="00E14DF5" w:rsidRDefault="00E14DF5">
      <w:pPr>
        <w:spacing w:after="0" w:line="240" w:lineRule="auto"/>
        <w:jc w:val="both"/>
        <w:rPr>
          <w:rFonts w:ascii="Times New Roman" w:hAnsi="Times New Roman" w:cs="Times New Roman"/>
          <w:sz w:val="24"/>
          <w:szCs w:val="24"/>
        </w:rPr>
      </w:pP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CB1FB9">
        <w:rPr>
          <w:rFonts w:ascii="Times New Roman" w:hAnsi="Times New Roman" w:cs="Times New Roman"/>
          <w:sz w:val="24"/>
          <w:szCs w:val="24"/>
        </w:rPr>
        <w:t>                            Sn:</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Kozan Belediye Meclis Üyesi</w:t>
      </w:r>
    </w:p>
    <w:p w:rsidR="00CB1FB9" w:rsidRDefault="00CB1FB9">
      <w:pPr>
        <w:spacing w:after="0" w:line="240" w:lineRule="auto"/>
        <w:jc w:val="both"/>
        <w:rPr>
          <w:rFonts w:ascii="Times New Roman" w:hAnsi="Times New Roman" w:cs="Times New Roman"/>
          <w:sz w:val="24"/>
          <w:szCs w:val="24"/>
        </w:rPr>
      </w:pP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5393 Sayılı Belediye Kanununun 20. maddesi uyarınca 4 Ocak Çarşamba günü 14.00’de yapılacak olan 2023 Ocak Ayı Meclis Toplantısı Belediye Meclis Toplantı salonunda yapılacağından, aşağıda yazılı bulunan gündem maddelerinin görüşülüp karara bağlanması için belirlenen gün ve saatte Belediye Meclis Salonuna teşriflerinizi rica ederim.</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3"/>
      </w:tblGrid>
      <w:tr w:rsidR="00CB1FB9" w:rsidTr="00096AA0">
        <w:trPr>
          <w:jc w:val="right"/>
        </w:trPr>
        <w:tc>
          <w:tcPr>
            <w:tcW w:w="0" w:type="auto"/>
          </w:tcPr>
          <w:p w:rsidR="00CB1FB9" w:rsidRDefault="00CB1FB9" w:rsidP="00096AA0">
            <w:pPr>
              <w:jc w:val="center"/>
              <w:rPr>
                <w:rFonts w:ascii="Times New Roman" w:hAnsi="Times New Roman" w:cs="Times New Roman"/>
                <w:sz w:val="24"/>
                <w:szCs w:val="24"/>
              </w:rPr>
            </w:pPr>
            <w:r>
              <w:rPr>
                <w:rFonts w:ascii="Times New Roman" w:hAnsi="Times New Roman" w:cs="Times New Roman"/>
                <w:sz w:val="24"/>
                <w:szCs w:val="24"/>
              </w:rPr>
              <w:t>Kazım ÖZGAN</w:t>
            </w:r>
            <w:r>
              <w:rPr>
                <w:rFonts w:ascii="Times New Roman" w:hAnsi="Times New Roman" w:cs="Times New Roman"/>
                <w:sz w:val="24"/>
                <w:szCs w:val="24"/>
              </w:rPr>
              <w:br/>
              <w:t>Belediye Başkanı</w:t>
            </w:r>
            <w:r>
              <w:rPr>
                <w:rFonts w:ascii="Times New Roman" w:hAnsi="Times New Roman" w:cs="Times New Roman"/>
                <w:sz w:val="24"/>
                <w:szCs w:val="24"/>
              </w:rPr>
              <w:br/>
            </w:r>
          </w:p>
        </w:tc>
      </w:tr>
    </w:tbl>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Gündem :</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Belediyemiz mevcut kadrolarında fiili olarak görev yapan 657 Sayılı DMK.’nın 64, 67 ve 68 maddesine göre Kademe ve derece İlerlemesi yapılan Personelin Müktesep Kadro derecelerinin uygun hale getirilmesi amacıyla 5393 sayılı Kanunun 18. Maddesinin (I) bendi ve Belediye ve Bağlı Kuruluşları ile Mahalli idare birliklerine Norm Kadro İlke ve Standartlarına Dair Yönetmeliğin 11. Maddesine göre yapılacak olan Dolu Kadro değişiklikleri ile ilgili teklife ait komisyon raporunun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Belediyemizde görevlerinin niteliği gereği günün 24 saatinde devamlılık gösteren 657 Sayılı Devlet memurları Kanununa tabi, Zabıta hizmetlerinde çalışan personellere 2023 Mali yılında maktuen fazla çalışma ücretlerinin, 2023 Yılı Merkezi Yönetim Bütçe Kanun Teklifi ve Bağlı Cetvelleri, K-Cetvelinde belirtilen, Ankara, İstanbul ve İzmir Büyükşehir Belediyleri dışında kalan diğer Büyükşehir Belediye sınırı, mücavir alanı içerisinde bulunanlar için belirtilen 1.325,00 TL. miktarda, maktuen fazla çalışma ücretlerinin belirlenmesi, ayrıca cari yıl içerinde gerçekleşebilecek artış olması halinde, Maktu fazla çalışma ücretlerinin K-Cetvelinde belirtilen miktarda artışın yapılması ile ilgili teklife ait komisyon raporunun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2023 Mali Yılında İmar ve Şehircilik Müdürlüğü, Fen İşleri Müdürlüğü, İşletme ve İştiraklar Müdürlüğü ve Zabıta Müdürlüğünde uygulanacak ücret tarifeleri ile diğer müdürlüklerde uygulanacak ücret tarifelerinin belirlenmesi ile ilgili teklife ait komisyon raporunun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Kurumumuzun enerji ihtiyacını karşılamak amacıyla Karacaoğlan Mahallesi Pazar Sokak 976 Ada 1 Parselde bulunan Pazar yerinin üzerine kurulması planlanan Güneş Enerji Üretim Santrali finansmanı için kurum ve kuruluşlardan alınacak olan 23.000.000,00 TL kredi için Kozan Belediye Başkanı Kazım ÖZGAN'a yetki verilmesi ile ilgili teklife ait komisyon raporunun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Belediyemiz olarak, 29 Ekim 2022 Cumartesi günü Cumhurbaşkanımız tarafından milli ve yerli otomobil fabrikamızın açılışı gerçekleştirilmiş olup, seri üretime geçilen yerli ve milli aracımızdan (TOGG) 1 adet otomobilin 5393 sayılı Belediye Kanununun 85.maddesinin (b) fıkrası gereğince satın alınması ile ilgili teklife ait komisyon raporunun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Dr.Halil BİLGİÇ’in dilekçesine istinaden, Kozan Belediyesi tarafından yapılması planlanan (Yöresel Ürünler ve Tüketici Pazarına Babası Çorapçı Mehmet BİLGİÇ’in isminin verilmesi şartı ile 225.000 TL (İkiyüzyirmibeşbintürklirası) bağışta bulunması ile ilgili teklife ait komisyon raporunun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Adana Valiliği Kadastro Müdürlüğünün 02.11.2022 tarihli ve 6678942 sayılı yazısı ve 08.11.2022 tarihli ve 6767524 sayılı yazısında bahse konu olan İlçemiz Aslanpaşa, Tufanpaşa, Şevkiye ve Hacıuşağı </w:t>
      </w:r>
      <w:r>
        <w:rPr>
          <w:rFonts w:ascii="Times New Roman" w:hAnsi="Times New Roman" w:cs="Times New Roman"/>
          <w:sz w:val="24"/>
          <w:szCs w:val="24"/>
        </w:rPr>
        <w:lastRenderedPageBreak/>
        <w:t>Mahallelerinde yapılan kadastro yenileme çalışmalarında görev yapabilecek bilirkişiler Belediye Meclisimizin muhtelif kararlarıyla seçilmiş olmasına rağmen, ilgili makamlarca sabıka kaydı olduğu tespit edilen veya bilirkişilikten çekilen şahısların yerine Aslanpaşa Mahallesi için 2 bilirkişi, Tufanpaşa Mahallesi için 3 bilirkişi, Şevkiye Mahallesi için 4 bilirkişi ve Hacıuşağı Mahallesi için 6 bilirkişi seçilerek, seçilen bilirkişilere ait listenin ve nüfus cüzdan fotokopilerinin gönderilmesi ile ilgili teklife ait komisyon raporunun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Denetim Komisyonuna üye seçimine ait teklifin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5393 Sayılı Belediye Kanununun 32. Maddesi “Meclis başkan ve üyelerine, meclis ve komisyon toplantılarına katıldıkları her gün için, 39 uncu madde uyarınca belediye başkanına ödenmekte olan aylık brüt ödeneğin günlük tutarının üçte birini geçmemek üzere meclis tarafından belirlenecek miktarda huzur hakkı ödenir.” Hükmü uyarınca Meclis başkan ve üyelerine 2023 yılında ödenecek huzur hakkı miktarının tespitine ait teklifin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Meclis Üyesi Başkan Yardımcılarının ödenecek ücretlerin belirlenmesine ait teklifin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Adana Büyükşehir Belediyesi Emlak ve İstimlak Daire Başkanlığının 16/12/2022 tarih ve 289630 sayılı yazısında 5216 Sayılı Büyükşehir Belediyesi Kanununun Büyükşehir Belediyesinin Görev, Yetki ve Sorumlulukları başlıklı 7.Maddesi  (v) bendinde; “Sağlık Merkezleri, Hastaneler, Gezici Sağlık Üniteleri ile Yetişkinler, Yaşlılar, Engelliler, Kadınlar, Gençler ve Çocuklara yönelik her türlü sosyal ve kültürel hizmetleri yürütmek, geliştirmek ve bu amaçla sosyal tesisler kurmak, meslek ve beceri kazandırma kursları açmak, işletmek ve işlettirmek, bu hizmetleri yürütürken üniversiteler, yüksek okullar, meslek liseleri, kamu kuruluşları ve sivil toplum örgütleri ile işbirliği yapmak “ hükmünün yer aldığı belirtilmiştir.</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Bu nedenle mülkiyeti Kozan Belediyesi adına kayıtlı olan İlçemiz Pekmezci Mahallesi 397 nolu 3550.00 m² yüz ölçümlü Arsa vasıflı taşınmazı 5393 sayılı Belediye Kanununun 18.Maddesinin (e) bendine göre; Belediye Hizmet Alanı olarak kullanılması amacıyla Adana Büyükşehir Belediye Başkanlığı Adına tahsisinin yapılması talep edilmiş olup; Söz konusu tahsis işlemine ait teklifin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Enerji Ve Tabii Kaynaklar Bakanlığı Türkiye Elektrik Dağıtım Anonim Şirketi Genel Müdürlüğü Tedaş 17.Bölge Müdürlüğünün (Adana) yazısında Adana İli sınırları içerisindeki Havza TM  Işıkkaya Enerji Nakil Hattı güzergahına isabet eden taşınmazların devir işlemlerine, 6446 sayılı elektrik Piyasası Kanunu nun 19’uncu maddesinin 2/a fıkrası gereğince, 2942 Sayılı Kanun ve ilgili mevzuat hükümleri uyarınca Türkiye Elektrik Dağıtım Anonim Şirketi Genel Müdürlüğü Yönetim kurulu tarafından alınan 18.11.2021 tarih ve 36-4243 nolu karar ile başlanıldığı belirtilmiştir.</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Bu sebeple ilgi yazı ile belirtilen karar gereğince Mülkiyeti Kozan Belediyesi adına kayıtlı olan İlçemiz Postkabasakal Mahallesi 243 ada 64 parsel numaralı 642,61 m² yüz ölçümlü taşınmaz üzerinde 37.51 m² lik irtifak hakkı için 712,26 TL bedel üzerinden 2942 Sayılı Kamulaştırma Kanunu’ nun 30’uncu maddesi uyarınca Türkiye Elektrik Dağıtım Anonim Şirketi Genel Müdürlüğü adına irtifak hakkının tescilinin yapılması talebine ait teklifin görüşülmesi</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Mülkiyeti Kozan Belediyesi adına kayıtlı İlçemiz Postkabasakal Mahallesinde bulunan 243 ada 64 nolu 642,61 m² yüz ölçümlü tarla vasıflı taşınmazın 37.51 m² lik kısmına ekli krokide gösterildiği şekilde, 712,26 TL bedel karşılığında Türkiye Elektrik Dağıtım Anonim Şirketi Genel Müdürlüğü adına irtifak hakkının tescili hususunda 5393 sayılı Belediye Kanunu'nun 18. Maddesinin (e) bendi uyarınca talebine ait teklifin görüşülmesi</w:t>
      </w:r>
    </w:p>
    <w:p w:rsidR="00B96DBB" w:rsidRDefault="00AF4E4C" w:rsidP="00CB1F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Belediyemiz bünyesinde 5393 Sayılı Belediye Kanununun 49.maddesine göre çalıştırılmakta olan ve fiilen görev yapan 2 Teknisyen, 13 Tekniker, 4 Mühendis, 2 Şehir Plancısı, 1 Avukat, 1 Ekonomist, 1 Eğitmen, 1 Sağlık Teknikeri, 1 Mimar, 1 Jeomorfolog, 1 Programcı statülerinde tam zamanlı sözleşmeli Memurlarımızın 01/01/2023-31/12/2023 tarihleri arasında ödenecek ücretlerin belirlenmesine ait teklifin görüşülmesi</w:t>
      </w:r>
      <w:bookmarkStart w:id="0" w:name="_GoBack"/>
      <w:bookmarkEnd w:id="0"/>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7"/>
      <w:type w:val="continuous"/>
      <w:pgSz w:w="11906" w:h="16838"/>
      <w:pgMar w:top="284" w:right="850" w:bottom="900" w:left="850" w:header="708" w:footer="90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BC0" w:rsidRDefault="00736BC0" w:rsidP="00B96DBB">
      <w:pPr>
        <w:spacing w:after="0" w:line="240" w:lineRule="auto"/>
      </w:pPr>
      <w:r>
        <w:separator/>
      </w:r>
    </w:p>
  </w:endnote>
  <w:endnote w:type="continuationSeparator" w:id="1">
    <w:p w:rsidR="00736BC0" w:rsidRDefault="00736BC0" w:rsidP="00B96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F5" w:rsidRDefault="00AF4E4C">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3853" cy="613853"/>
                  </a:xfrm>
                  <a:prstGeom prst="rect">
                    <a:avLst/>
                  </a:prstGeom>
                </pic:spPr>
              </pic:pic>
            </a:graphicData>
          </a:graphic>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206"/>
    </w:tblGrid>
    <w:tr w:rsidR="00E14DF5">
      <w:trPr>
        <w:tblCellSpacing w:w="0" w:type="dxa"/>
      </w:trPr>
      <w:tc>
        <w:tcPr>
          <w:tcW w:w="0" w:type="auto"/>
          <w:vAlign w:val="center"/>
        </w:tcPr>
        <w:p w:rsidR="00E14DF5" w:rsidRDefault="00AF4E4C">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E14DF5">
      <w:trPr>
        <w:tblCellSpacing w:w="0" w:type="dxa"/>
      </w:trPr>
      <w:tc>
        <w:tcPr>
          <w:tcW w:w="0" w:type="auto"/>
          <w:vAlign w:val="center"/>
        </w:tcPr>
        <w:p w:rsidR="00E14DF5" w:rsidRDefault="00AF4E4C">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0fRLST-Qe1IzY-0O3/WX-LMI8UX-ZyvhvAPg Doğrulama Linki: https://www.turkiye.gov.tr/icisleri-belediye-ebys</w:t>
          </w:r>
        </w:p>
      </w:tc>
    </w:tr>
  </w:tbl>
  <w:p w:rsidR="00E14DF5" w:rsidRDefault="00E14DF5">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669"/>
      <w:gridCol w:w="3402"/>
      <w:gridCol w:w="1135"/>
    </w:tblGrid>
    <w:tr w:rsidR="00E14DF5">
      <w:trPr>
        <w:tblCellSpacing w:w="0" w:type="dxa"/>
      </w:trPr>
      <w:tc>
        <w:tcPr>
          <w:tcW w:w="2500" w:type="pct"/>
        </w:tcPr>
        <w:p w:rsidR="00E14DF5" w:rsidRDefault="00AF4E4C">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E14DF5" w:rsidRDefault="00AF4E4C">
          <w:pPr>
            <w:keepNext/>
            <w:jc w:val="right"/>
            <w:rPr>
              <w:rFonts w:ascii="Times New Roman" w:hAnsi="Times New Roman" w:cs="Times New Roman"/>
              <w:sz w:val="24"/>
              <w:szCs w:val="24"/>
            </w:rPr>
          </w:pPr>
          <w:r>
            <w:rPr>
              <w:rFonts w:ascii="Times New Roman" w:hAnsi="Times New Roman" w:cs="Times New Roman"/>
              <w:sz w:val="16"/>
              <w:szCs w:val="18"/>
            </w:rPr>
            <w:t>Bilgi için: Çağrı Musa KARAOĞLU</w:t>
          </w:r>
          <w:r>
            <w:rPr>
              <w:rFonts w:ascii="Times New Roman" w:hAnsi="Times New Roman" w:cs="Times New Roman"/>
              <w:sz w:val="18"/>
              <w:szCs w:val="18"/>
            </w:rPr>
            <w:br/>
          </w:r>
          <w:r>
            <w:rPr>
              <w:rFonts w:ascii="Times New Roman" w:hAnsi="Times New Roman" w:cs="Times New Roman"/>
              <w:sz w:val="16"/>
              <w:szCs w:val="18"/>
            </w:rPr>
            <w:t>Tekniker</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E14DF5" w:rsidRDefault="00E14DF5">
          <w:pPr>
            <w:rPr>
              <w:rFonts w:ascii="Times New Roman" w:hAnsi="Times New Roman" w:cs="Times New Roman"/>
              <w:sz w:val="24"/>
              <w:szCs w:val="24"/>
            </w:rPr>
          </w:pPr>
        </w:p>
      </w:tc>
    </w:tr>
  </w:tbl>
  <w:p w:rsidR="00E574F6" w:rsidRPr="00A52013" w:rsidRDefault="006C57E4">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00182DA1"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D21067">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00182DA1" w:rsidRPr="00D3606C">
      <w:rPr>
        <w:rFonts w:ascii="Times New Roman" w:hAnsi="Times New Roman" w:cs="Times New Roman"/>
        <w:sz w:val="24"/>
        <w:szCs w:val="24"/>
      </w:rPr>
      <w:t>/</w:t>
    </w:r>
    <w:fldSimple w:instr=" SECTIONPAGES   \* MERGEFORMAT ">
      <w:r w:rsidR="00D21067">
        <w:rPr>
          <w:rFonts w:ascii="Times New Roman" w:hAnsi="Times New Roman" w:cs="Times New Roman"/>
          <w:noProof/>
          <w:sz w:val="24"/>
          <w:szCs w:val="24"/>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BC0" w:rsidRDefault="00736BC0" w:rsidP="00B96DBB">
      <w:pPr>
        <w:spacing w:after="0" w:line="240" w:lineRule="auto"/>
      </w:pPr>
      <w:r>
        <w:separator/>
      </w:r>
    </w:p>
  </w:footnote>
  <w:footnote w:type="continuationSeparator" w:id="1">
    <w:p w:rsidR="00736BC0" w:rsidRDefault="00736BC0" w:rsidP="00B96D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040E0520">
      <w:numFmt w:val="decimal"/>
      <w:lvlText w:val=""/>
      <w:lvlJc w:val="left"/>
    </w:lvl>
    <w:lvl w:ilvl="2" w:tplc="FB9AF8FC">
      <w:numFmt w:val="decimal"/>
      <w:lvlText w:val=""/>
      <w:lvlJc w:val="left"/>
    </w:lvl>
    <w:lvl w:ilvl="3" w:tplc="A4B8A7CA">
      <w:numFmt w:val="decimal"/>
      <w:lvlText w:val=""/>
      <w:lvlJc w:val="left"/>
    </w:lvl>
    <w:lvl w:ilvl="4" w:tplc="7862DC78">
      <w:numFmt w:val="decimal"/>
      <w:lvlText w:val=""/>
      <w:lvlJc w:val="left"/>
    </w:lvl>
    <w:lvl w:ilvl="5" w:tplc="6A30285C">
      <w:numFmt w:val="decimal"/>
      <w:lvlText w:val=""/>
      <w:lvlJc w:val="left"/>
    </w:lvl>
    <w:lvl w:ilvl="6" w:tplc="C91259CE">
      <w:numFmt w:val="decimal"/>
      <w:lvlText w:val=""/>
      <w:lvlJc w:val="left"/>
    </w:lvl>
    <w:lvl w:ilvl="7" w:tplc="9FF02948">
      <w:numFmt w:val="decimal"/>
      <w:lvlText w:val=""/>
      <w:lvlJc w:val="left"/>
    </w:lvl>
    <w:lvl w:ilvl="8" w:tplc="154A32C2">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NotExpandShiftReturn/>
    <w:useFELayout/>
  </w:compat>
  <w:rsids>
    <w:rsidRoot w:val="00B96DBB"/>
    <w:rsid w:val="000949FD"/>
    <w:rsid w:val="00182DA1"/>
    <w:rsid w:val="00193B50"/>
    <w:rsid w:val="001C6654"/>
    <w:rsid w:val="001C6F35"/>
    <w:rsid w:val="005B2ECC"/>
    <w:rsid w:val="006C57E4"/>
    <w:rsid w:val="00736BC0"/>
    <w:rsid w:val="00A52013"/>
    <w:rsid w:val="00AF2596"/>
    <w:rsid w:val="00AF4E4C"/>
    <w:rsid w:val="00B81885"/>
    <w:rsid w:val="00B96DBB"/>
    <w:rsid w:val="00C320B6"/>
    <w:rsid w:val="00CB1FB9"/>
    <w:rsid w:val="00CF47BF"/>
    <w:rsid w:val="00D165D6"/>
    <w:rsid w:val="00D21067"/>
    <w:rsid w:val="00E14DF5"/>
    <w:rsid w:val="00EA49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rsid w:val="006C5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Şaban ASLANHAN</dc:creator>
  <cp:lastModifiedBy>PC</cp:lastModifiedBy>
  <cp:revision>2</cp:revision>
  <dcterms:created xsi:type="dcterms:W3CDTF">2022-12-30T08:53:00Z</dcterms:created>
  <dcterms:modified xsi:type="dcterms:W3CDTF">2022-12-30T08:53:00Z</dcterms:modified>
</cp:coreProperties>
</file>